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3528A" w14:textId="4E4F477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AA0854">
        <w:t>100</w:t>
      </w:r>
      <w:r w:rsidR="00EA4460">
        <w:t>bis</w:t>
      </w:r>
      <w:r w:rsidR="004D75D9">
        <w:t>-e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C113AD" w:rsidRPr="00C113AD">
        <w:rPr>
          <w:sz w:val="32"/>
          <w:szCs w:val="32"/>
        </w:rPr>
        <w:t xml:space="preserve"> </w:t>
      </w:r>
      <w:r w:rsidR="00401FAF" w:rsidRPr="00401FAF">
        <w:rPr>
          <w:sz w:val="32"/>
          <w:szCs w:val="32"/>
        </w:rPr>
        <w:t>2002241</w:t>
      </w:r>
    </w:p>
    <w:p w14:paraId="63DB5C0A" w14:textId="4F20D3BF" w:rsidR="00DC23D0" w:rsidRPr="00CE0424" w:rsidRDefault="00DC23D0" w:rsidP="00DC23D0">
      <w:pPr>
        <w:pStyle w:val="3GPPHeader"/>
      </w:pPr>
      <w:r w:rsidRPr="003D623D">
        <w:t xml:space="preserve">e-Meeting, </w:t>
      </w:r>
      <w:r w:rsidR="00EA4460">
        <w:t>April</w:t>
      </w:r>
      <w:r w:rsidRPr="003D623D">
        <w:t xml:space="preserve"> </w:t>
      </w:r>
      <w:r w:rsidR="00EA4460">
        <w:t>20</w:t>
      </w:r>
      <w:r w:rsidRPr="00EA4460">
        <w:rPr>
          <w:vertAlign w:val="superscript"/>
        </w:rPr>
        <w:t>th</w:t>
      </w:r>
      <w:r w:rsidR="00EA4460">
        <w:t xml:space="preserve"> </w:t>
      </w:r>
      <w:r w:rsidRPr="003D623D">
        <w:t xml:space="preserve">- </w:t>
      </w:r>
      <w:r w:rsidR="00EA4460">
        <w:t>April</w:t>
      </w:r>
      <w:r w:rsidRPr="003D623D">
        <w:t xml:space="preserve"> </w:t>
      </w:r>
      <w:r w:rsidR="00EA4460">
        <w:t>30</w:t>
      </w:r>
      <w:r w:rsidRPr="00EA4460">
        <w:rPr>
          <w:vertAlign w:val="superscript"/>
        </w:rPr>
        <w:t>th</w:t>
      </w:r>
      <w:r w:rsidRPr="003D623D">
        <w:t>, 2020</w:t>
      </w:r>
    </w:p>
    <w:p w14:paraId="7FD0A2FD" w14:textId="77777777" w:rsidR="00E90E49" w:rsidRPr="00CE0424" w:rsidRDefault="00E90E49" w:rsidP="00357380">
      <w:pPr>
        <w:pStyle w:val="3GPPHeader"/>
      </w:pPr>
    </w:p>
    <w:p w14:paraId="0209C9BC" w14:textId="6EB4B8C6" w:rsidR="00E90E49" w:rsidRPr="00077322" w:rsidRDefault="00E90E49" w:rsidP="00311702">
      <w:pPr>
        <w:pStyle w:val="3GPPHeader"/>
        <w:rPr>
          <w:sz w:val="22"/>
          <w:szCs w:val="22"/>
          <w:lang w:val="en-US"/>
        </w:rPr>
      </w:pPr>
      <w:r w:rsidRPr="00077322">
        <w:rPr>
          <w:sz w:val="22"/>
          <w:szCs w:val="22"/>
          <w:lang w:val="en-US"/>
        </w:rPr>
        <w:t>Agenda Item:</w:t>
      </w:r>
      <w:r w:rsidRPr="00077322">
        <w:rPr>
          <w:sz w:val="22"/>
          <w:szCs w:val="22"/>
          <w:lang w:val="en-US"/>
        </w:rPr>
        <w:tab/>
      </w:r>
      <w:r w:rsidR="00077322" w:rsidRPr="00077322">
        <w:rPr>
          <w:sz w:val="22"/>
          <w:szCs w:val="22"/>
          <w:lang w:val="en-US"/>
        </w:rPr>
        <w:t>7</w:t>
      </w:r>
      <w:r w:rsidR="00077322">
        <w:rPr>
          <w:sz w:val="22"/>
          <w:szCs w:val="22"/>
          <w:lang w:val="en-US"/>
        </w:rPr>
        <w:t>.2.4.8</w:t>
      </w:r>
    </w:p>
    <w:p w14:paraId="4C8CF4A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692B630" w14:textId="707DEC6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77322" w:rsidRPr="00077322">
        <w:rPr>
          <w:sz w:val="22"/>
          <w:szCs w:val="22"/>
        </w:rPr>
        <w:t xml:space="preserve">Remaining </w:t>
      </w:r>
      <w:r w:rsidR="00077322">
        <w:rPr>
          <w:sz w:val="22"/>
          <w:szCs w:val="22"/>
        </w:rPr>
        <w:t>d</w:t>
      </w:r>
      <w:r w:rsidR="00077322" w:rsidRPr="00077322">
        <w:rPr>
          <w:sz w:val="22"/>
          <w:szCs w:val="22"/>
        </w:rPr>
        <w:t>etails on resource pool determination</w:t>
      </w:r>
    </w:p>
    <w:p w14:paraId="5564222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77322">
        <w:rPr>
          <w:sz w:val="22"/>
          <w:szCs w:val="22"/>
        </w:rPr>
        <w:t>Discussion, Decision</w:t>
      </w:r>
    </w:p>
    <w:p w14:paraId="7D7F46BF" w14:textId="77777777" w:rsidR="00E90E49" w:rsidRPr="00CE0424" w:rsidRDefault="00E90E49" w:rsidP="00E90E49"/>
    <w:p w14:paraId="16CA150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91D76C1" w14:textId="33DA2983" w:rsidR="00077322" w:rsidRPr="00925F6B" w:rsidRDefault="00925F6B" w:rsidP="00077322">
      <w:pPr>
        <w:pStyle w:val="BodyText"/>
        <w:rPr>
          <w:rFonts w:cs="Arial"/>
        </w:rPr>
      </w:pPr>
      <w:r>
        <w:rPr>
          <w:rFonts w:cs="Arial"/>
          <w:lang w:val="en-US"/>
        </w:rPr>
        <w:t xml:space="preserve">This contribution </w:t>
      </w:r>
      <w:r w:rsidR="00DE03A6">
        <w:rPr>
          <w:rFonts w:cs="Arial"/>
          <w:lang w:val="en-US"/>
        </w:rPr>
        <w:t xml:space="preserve">discusses the remaining details of resource pool </w:t>
      </w:r>
      <w:r w:rsidR="00D736FE">
        <w:rPr>
          <w:rFonts w:cs="Arial"/>
          <w:lang w:val="en-US"/>
        </w:rPr>
        <w:t>determination</w:t>
      </w:r>
      <w:r>
        <w:rPr>
          <w:rFonts w:cs="Arial"/>
          <w:lang w:val="en-US"/>
        </w:rPr>
        <w:t>.</w:t>
      </w:r>
    </w:p>
    <w:p w14:paraId="226B665A" w14:textId="3A2702B5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0C7A75">
        <w:t>NR V2X resource pool determination</w:t>
      </w:r>
    </w:p>
    <w:p w14:paraId="7641619E" w14:textId="77777777" w:rsidR="00BC05C3" w:rsidRPr="00925F6B" w:rsidRDefault="00BC05C3" w:rsidP="00BC05C3">
      <w:pPr>
        <w:jc w:val="both"/>
        <w:rPr>
          <w:rFonts w:ascii="Arial" w:hAnsi="Arial" w:cs="Arial"/>
          <w:lang w:val="en-US"/>
        </w:rPr>
      </w:pPr>
      <w:r w:rsidRPr="00925F6B">
        <w:rPr>
          <w:rFonts w:ascii="Arial" w:hAnsi="Arial" w:cs="Arial"/>
          <w:lang w:val="en-US"/>
        </w:rPr>
        <w:t>RAN1#</w:t>
      </w:r>
      <w:r>
        <w:rPr>
          <w:rFonts w:ascii="Arial" w:hAnsi="Arial" w:cs="Arial"/>
          <w:lang w:val="en-US"/>
        </w:rPr>
        <w:t>100e</w:t>
      </w:r>
      <w:r w:rsidRPr="00925F6B">
        <w:rPr>
          <w:rFonts w:ascii="Arial" w:hAnsi="Arial" w:cs="Arial"/>
          <w:lang w:val="en-US"/>
        </w:rPr>
        <w:t xml:space="preserve">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5C3" w:rsidRPr="00D736FE" w14:paraId="0A465A56" w14:textId="77777777" w:rsidTr="00E047FB">
        <w:tc>
          <w:tcPr>
            <w:tcW w:w="9629" w:type="dxa"/>
          </w:tcPr>
          <w:p w14:paraId="454AE44F" w14:textId="77777777" w:rsidR="00BC05C3" w:rsidRPr="00D736FE" w:rsidRDefault="00BC05C3" w:rsidP="00E047FB">
            <w:pPr>
              <w:pStyle w:val="NormalWeb"/>
              <w:rPr>
                <w:sz w:val="20"/>
                <w:szCs w:val="20"/>
              </w:rPr>
            </w:pPr>
            <w:r w:rsidRPr="00D736FE">
              <w:rPr>
                <w:rStyle w:val="Strong"/>
                <w:rFonts w:ascii="Arial" w:hAnsi="Arial" w:cs="Arial"/>
                <w:i/>
                <w:iCs/>
                <w:sz w:val="20"/>
                <w:szCs w:val="20"/>
                <w:highlight w:val="green"/>
                <w:u w:val="single"/>
                <w:lang w:eastAsia="ko-KR"/>
              </w:rPr>
              <w:t>Agreement</w:t>
            </w:r>
          </w:p>
          <w:p w14:paraId="6525728E" w14:textId="77777777" w:rsidR="00BC05C3" w:rsidRPr="00D736FE" w:rsidRDefault="00BC05C3" w:rsidP="00E047FB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before="100" w:beforeAutospacing="1" w:after="150"/>
              <w:ind w:right="450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  <w:r w:rsidRPr="00D736FE">
              <w:rPr>
                <w:rFonts w:ascii="Arial" w:eastAsia="Times New Roman" w:hAnsi="Arial" w:cs="Arial"/>
                <w:sz w:val="20"/>
                <w:szCs w:val="20"/>
                <w:lang w:val="ru-RU" w:eastAsia="ko-KR"/>
              </w:rPr>
              <w:t>For resource pool configuration, slots for a resource pool is (pre-)configured with bitmap, which is applied with periodicity. </w:t>
            </w:r>
          </w:p>
          <w:p w14:paraId="68A892D7" w14:textId="77777777" w:rsidR="00BC05C3" w:rsidRPr="00D736FE" w:rsidRDefault="00BC05C3" w:rsidP="00E047FB">
            <w:pPr>
              <w:pStyle w:val="NormalWeb"/>
              <w:spacing w:beforeAutospacing="0" w:after="150" w:afterAutospacing="0"/>
              <w:ind w:right="450"/>
              <w:rPr>
                <w:sz w:val="20"/>
                <w:szCs w:val="20"/>
                <w:lang w:val="en-US"/>
              </w:rPr>
            </w:pPr>
            <w:r w:rsidRPr="00D736FE">
              <w:rPr>
                <w:rStyle w:val="Strong"/>
                <w:rFonts w:ascii="Arial" w:hAnsi="Arial" w:cs="Arial"/>
                <w:i/>
                <w:iCs/>
                <w:sz w:val="20"/>
                <w:szCs w:val="20"/>
                <w:highlight w:val="green"/>
                <w:u w:val="single"/>
                <w:lang w:val="en-US" w:eastAsia="ko-KR"/>
              </w:rPr>
              <w:t>Agreement</w:t>
            </w:r>
            <w:r w:rsidRPr="00D736FE">
              <w:rPr>
                <w:rStyle w:val="Strong"/>
                <w:rFonts w:ascii="Arial" w:hAnsi="Arial" w:cs="Arial"/>
                <w:sz w:val="20"/>
                <w:szCs w:val="20"/>
                <w:lang w:val="ru-RU" w:eastAsia="ko-KR"/>
              </w:rPr>
              <w:t> </w:t>
            </w:r>
          </w:p>
          <w:p w14:paraId="26163978" w14:textId="77777777" w:rsidR="00BC05C3" w:rsidRPr="00D736FE" w:rsidRDefault="00BC05C3" w:rsidP="00E047FB">
            <w:pPr>
              <w:pStyle w:val="NormalWeb"/>
              <w:spacing w:beforeAutospacing="0" w:after="150" w:afterAutospacing="0"/>
              <w:ind w:left="360" w:right="300"/>
              <w:rPr>
                <w:sz w:val="20"/>
                <w:szCs w:val="20"/>
                <w:lang w:val="en-US"/>
              </w:rPr>
            </w:pP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 xml:space="preserve">For derivation of </w:t>
            </w:r>
            <w:r w:rsidRPr="00D736FE">
              <w:rPr>
                <w:rFonts w:ascii="Arial" w:hAnsi="Arial" w:cs="Arial"/>
                <w:sz w:val="20"/>
                <w:szCs w:val="20"/>
                <w:lang w:val="en-US" w:eastAsia="ko-KR"/>
              </w:rPr>
              <w:t>the</w:t>
            </w: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 xml:space="preserve"> set of slots to be included in the resource pool, the baseline is the derivation with bitmap and periodicity </w:t>
            </w:r>
            <w:r w:rsidRPr="00D736FE">
              <w:rPr>
                <w:rFonts w:ascii="Arial" w:hAnsi="Arial" w:cs="Arial"/>
                <w:sz w:val="20"/>
                <w:szCs w:val="20"/>
                <w:lang w:val="en-US" w:eastAsia="ko-KR"/>
              </w:rPr>
              <w:t>based on</w:t>
            </w: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> Subclause 14.1.5 of TS36.213 with the following modifications.</w:t>
            </w:r>
          </w:p>
          <w:p w14:paraId="3DA771A2" w14:textId="77777777" w:rsidR="00BC05C3" w:rsidRPr="00E2391B" w:rsidRDefault="00BC05C3" w:rsidP="00E047FB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300"/>
              <w:textAlignment w:val="auto"/>
              <w:rPr>
                <w:rFonts w:eastAsia="Times New Roman"/>
                <w:sz w:val="20"/>
                <w:szCs w:val="20"/>
                <w:highlight w:val="yellow"/>
                <w:lang w:val="en-US"/>
              </w:rPr>
            </w:pPr>
            <w:r w:rsidRPr="00E2391B">
              <w:rPr>
                <w:rFonts w:ascii="Arial" w:eastAsia="Times New Roman" w:hAnsi="Arial" w:cs="Arial"/>
                <w:sz w:val="20"/>
                <w:szCs w:val="20"/>
                <w:highlight w:val="yellow"/>
                <w:lang w:val="ru-RU" w:eastAsia="ko-KR"/>
              </w:rPr>
              <w:t>FFS: </w:t>
            </w:r>
            <w:r w:rsidRPr="00E2391B"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 w:eastAsia="ko-KR"/>
              </w:rPr>
              <w:t xml:space="preserve"> Periodicity and </w:t>
            </w:r>
            <w:r w:rsidRPr="00E2391B">
              <w:rPr>
                <w:rFonts w:ascii="Arial" w:eastAsia="Times New Roman" w:hAnsi="Arial" w:cs="Arial"/>
                <w:sz w:val="20"/>
                <w:szCs w:val="20"/>
                <w:highlight w:val="yellow"/>
                <w:lang w:val="ru-RU" w:eastAsia="ko-KR"/>
              </w:rPr>
              <w:t>L_bitmap value</w:t>
            </w:r>
          </w:p>
          <w:p w14:paraId="5BBF20CD" w14:textId="77777777" w:rsidR="00BC05C3" w:rsidRPr="00D736FE" w:rsidRDefault="00BC05C3" w:rsidP="00E047FB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300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  <w:r w:rsidRPr="00D736FE">
              <w:rPr>
                <w:rFonts w:ascii="Arial" w:eastAsia="Times New Roman" w:hAnsi="Arial" w:cs="Arial"/>
                <w:sz w:val="20"/>
                <w:szCs w:val="20"/>
                <w:lang w:val="en-US" w:eastAsia="ko-KR"/>
              </w:rPr>
              <w:t>T</w:t>
            </w:r>
            <w:r w:rsidRPr="00D736FE">
              <w:rPr>
                <w:rFonts w:ascii="Arial" w:eastAsia="Times New Roman" w:hAnsi="Arial" w:cs="Arial"/>
                <w:sz w:val="20"/>
                <w:szCs w:val="20"/>
                <w:lang w:val="ru-RU" w:eastAsia="ko-KR"/>
              </w:rPr>
              <w:t xml:space="preserve">he slot index is relative to slot#0 of the radio frame corresponding to SFN 0 of the serving cell if </w:t>
            </w:r>
            <w:r w:rsidRPr="00D736FE">
              <w:rPr>
                <w:rFonts w:ascii="Arial" w:eastAsia="Times New Roman" w:hAnsi="Arial" w:cs="Arial"/>
                <w:sz w:val="20"/>
                <w:szCs w:val="20"/>
                <w:lang w:val="en-GB" w:eastAsia="ko-KR"/>
              </w:rPr>
              <w:t>serving cell timing reference is in use</w:t>
            </w:r>
            <w:r w:rsidRPr="00D736FE">
              <w:rPr>
                <w:rFonts w:ascii="Arial" w:eastAsia="Times New Roman" w:hAnsi="Arial" w:cs="Arial"/>
                <w:sz w:val="20"/>
                <w:szCs w:val="20"/>
                <w:lang w:val="ru-RU" w:eastAsia="ko-KR"/>
              </w:rPr>
              <w:t>, or DFN 0 otherwise</w:t>
            </w:r>
          </w:p>
          <w:p w14:paraId="4E5A4737" w14:textId="77777777" w:rsidR="00BC05C3" w:rsidRPr="00D736FE" w:rsidRDefault="00BC05C3" w:rsidP="00E047FB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300"/>
              <w:textAlignment w:val="auto"/>
              <w:rPr>
                <w:rFonts w:eastAsia="Times New Roman"/>
                <w:sz w:val="20"/>
                <w:szCs w:val="20"/>
                <w:lang w:val="en-US"/>
              </w:rPr>
            </w:pPr>
            <w:r w:rsidRPr="00D736FE">
              <w:rPr>
                <w:rFonts w:ascii="Arial" w:eastAsia="Times New Roman" w:hAnsi="Arial" w:cs="Arial"/>
                <w:sz w:val="20"/>
                <w:szCs w:val="20"/>
                <w:lang w:val="en-US" w:eastAsia="ko-KR"/>
              </w:rPr>
              <w:t>T</w:t>
            </w:r>
            <w:r w:rsidRPr="00D736FE">
              <w:rPr>
                <w:rFonts w:ascii="Arial" w:eastAsia="Times New Roman" w:hAnsi="Arial" w:cs="Arial"/>
                <w:sz w:val="20"/>
                <w:szCs w:val="20"/>
                <w:lang w:val="ru-RU" w:eastAsia="ko-KR"/>
              </w:rPr>
              <w:t>he following procedure is used.</w:t>
            </w:r>
            <w:r w:rsidRPr="00D736FE">
              <w:rPr>
                <w:rFonts w:eastAsia="Times New Roman"/>
                <w:sz w:val="20"/>
                <w:szCs w:val="20"/>
                <w:lang w:val="ru-RU"/>
              </w:rPr>
              <w:t xml:space="preserve"> </w:t>
            </w:r>
          </w:p>
          <w:p w14:paraId="786AF4A6" w14:textId="77777777" w:rsidR="00BC05C3" w:rsidRPr="00D736FE" w:rsidRDefault="00BC05C3" w:rsidP="00E047FB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600"/>
              <w:textAlignment w:val="auto"/>
              <w:rPr>
                <w:rFonts w:eastAsiaTheme="minorHAnsi"/>
                <w:sz w:val="20"/>
                <w:szCs w:val="20"/>
                <w:lang w:val="en-US"/>
              </w:rPr>
            </w:pPr>
            <w:r w:rsidRPr="00D736FE">
              <w:rPr>
                <w:rFonts w:ascii="Arial" w:hAnsi="Arial" w:cs="Arial"/>
                <w:sz w:val="20"/>
                <w:szCs w:val="20"/>
                <w:lang w:val="en-US" w:eastAsia="ko-KR"/>
              </w:rPr>
              <w:t>T</w:t>
            </w: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>he set includes all the slots except the following slots: </w:t>
            </w:r>
            <w:r w:rsidRPr="00D736FE">
              <w:rPr>
                <w:sz w:val="20"/>
                <w:szCs w:val="20"/>
                <w:lang w:val="ru-RU"/>
              </w:rPr>
              <w:t xml:space="preserve"> </w:t>
            </w:r>
          </w:p>
          <w:p w14:paraId="3A38852F" w14:textId="77777777" w:rsidR="00BC05C3" w:rsidRPr="00D736FE" w:rsidRDefault="00BC05C3" w:rsidP="00E047FB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900"/>
              <w:textAlignment w:val="auto"/>
              <w:rPr>
                <w:sz w:val="20"/>
                <w:szCs w:val="20"/>
                <w:lang w:val="en-US"/>
              </w:rPr>
            </w:pPr>
            <w:r w:rsidRPr="00D736FE">
              <w:rPr>
                <w:rFonts w:ascii="Arial" w:hAnsi="Arial" w:cs="Arial"/>
                <w:sz w:val="20"/>
                <w:szCs w:val="20"/>
                <w:lang w:val="en-US" w:eastAsia="ko-KR"/>
              </w:rPr>
              <w:t>S</w:t>
            </w: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>lots in which SLSS resource is configured, </w:t>
            </w:r>
          </w:p>
          <w:p w14:paraId="255A1FBD" w14:textId="77777777" w:rsidR="00BC05C3" w:rsidRPr="00D736FE" w:rsidRDefault="00BC05C3" w:rsidP="00E047FB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900"/>
              <w:textAlignment w:val="auto"/>
              <w:rPr>
                <w:sz w:val="20"/>
                <w:szCs w:val="20"/>
                <w:lang w:val="en-US"/>
              </w:rPr>
            </w:pPr>
            <w:r w:rsidRPr="00D736FE">
              <w:rPr>
                <w:rStyle w:val="Strong"/>
                <w:rFonts w:ascii="Arial" w:hAnsi="Arial" w:cs="Arial"/>
                <w:i/>
                <w:iCs/>
                <w:sz w:val="20"/>
                <w:szCs w:val="20"/>
                <w:u w:val="single"/>
                <w:lang w:val="ru-RU" w:eastAsia="ko-KR"/>
              </w:rPr>
              <w:t>(Working assumption)</w:t>
            </w: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 xml:space="preserve"> slots not having at least Y-th, (Y+1)-th, ....., (Y+X-1)-th symbols in a slot semi-statically for UL as indicated in TDD-UL-DL-ConfigCommon, where </w:t>
            </w:r>
            <w:r w:rsidRPr="00D736FE">
              <w:rPr>
                <w:sz w:val="20"/>
                <w:szCs w:val="20"/>
                <w:lang w:val="ru-RU"/>
              </w:rPr>
              <w:t xml:space="preserve"> </w:t>
            </w:r>
          </w:p>
          <w:p w14:paraId="0D8049F7" w14:textId="77777777" w:rsidR="00BC05C3" w:rsidRPr="00D736FE" w:rsidRDefault="00BC05C3" w:rsidP="00E047FB">
            <w:pPr>
              <w:numPr>
                <w:ilvl w:val="3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1200"/>
              <w:textAlignment w:val="auto"/>
              <w:rPr>
                <w:sz w:val="20"/>
                <w:szCs w:val="20"/>
                <w:lang w:val="en-US"/>
              </w:rPr>
            </w:pP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>X is sl-LengthSymbols</w:t>
            </w:r>
          </w:p>
          <w:p w14:paraId="0DA233F8" w14:textId="77777777" w:rsidR="00BC05C3" w:rsidRPr="00D736FE" w:rsidRDefault="00BC05C3" w:rsidP="00E047FB">
            <w:pPr>
              <w:numPr>
                <w:ilvl w:val="3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1200"/>
              <w:textAlignment w:val="auto"/>
              <w:rPr>
                <w:sz w:val="20"/>
                <w:szCs w:val="20"/>
                <w:lang w:val="en-US"/>
              </w:rPr>
            </w:pP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>Y is sl-StartSymbol</w:t>
            </w:r>
          </w:p>
          <w:p w14:paraId="22B05D27" w14:textId="77777777" w:rsidR="00BC05C3" w:rsidRPr="00D736FE" w:rsidRDefault="00BC05C3" w:rsidP="00E047FB">
            <w:pPr>
              <w:numPr>
                <w:ilvl w:val="2"/>
                <w:numId w:val="28"/>
              </w:numPr>
              <w:overflowPunct/>
              <w:autoSpaceDE/>
              <w:autoSpaceDN/>
              <w:adjustRightInd/>
              <w:spacing w:before="100" w:beforeAutospacing="1" w:after="150"/>
              <w:ind w:right="900"/>
              <w:textAlignment w:val="auto"/>
              <w:rPr>
                <w:sz w:val="20"/>
                <w:szCs w:val="20"/>
                <w:lang w:val="en-US"/>
              </w:rPr>
            </w:pPr>
            <w:r w:rsidRPr="00D736FE">
              <w:rPr>
                <w:rStyle w:val="Strong"/>
                <w:rFonts w:ascii="Arial" w:hAnsi="Arial" w:cs="Arial"/>
                <w:i/>
                <w:iCs/>
                <w:sz w:val="20"/>
                <w:szCs w:val="20"/>
                <w:u w:val="single"/>
                <w:lang w:val="ru-RU" w:eastAsia="ko-KR"/>
              </w:rPr>
              <w:lastRenderedPageBreak/>
              <w:t>(Working assumption)</w:t>
            </w: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 xml:space="preserve">  reserved slots which are determined by the similar steps in Subclause 14.1.5 of TS36.213</w:t>
            </w:r>
            <w:r w:rsidRPr="00D736FE">
              <w:rPr>
                <w:rStyle w:val="Strong"/>
                <w:rFonts w:ascii="Arial" w:hAnsi="Arial" w:cs="Arial"/>
                <w:sz w:val="20"/>
                <w:szCs w:val="20"/>
                <w:lang w:val="ru-RU" w:eastAsia="ko-KR"/>
              </w:rPr>
              <w:t>     </w:t>
            </w:r>
            <w:r w:rsidRPr="00D736FE">
              <w:rPr>
                <w:rFonts w:ascii="Arial" w:hAnsi="Arial" w:cs="Arial"/>
                <w:sz w:val="20"/>
                <w:szCs w:val="20"/>
                <w:lang w:val="ru-RU" w:eastAsia="ko-KR"/>
              </w:rPr>
              <w:t>     </w:t>
            </w:r>
            <w:r w:rsidRPr="00D736FE">
              <w:rPr>
                <w:rStyle w:val="Strong"/>
                <w:rFonts w:ascii="Arial" w:hAnsi="Arial" w:cs="Arial"/>
                <w:sz w:val="20"/>
                <w:szCs w:val="20"/>
                <w:lang w:val="ru-RU" w:eastAsia="ko-KR"/>
              </w:rPr>
              <w:t>     </w:t>
            </w:r>
          </w:p>
          <w:p w14:paraId="2432FCA7" w14:textId="05CD1F81" w:rsidR="00E2391B" w:rsidRPr="00F41AAD" w:rsidRDefault="00E2391B" w:rsidP="00E2391B">
            <w:pPr>
              <w:pStyle w:val="NormalWeb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2391B">
              <w:rPr>
                <w:rStyle w:val="Strong"/>
                <w:rFonts w:ascii="Arial" w:hAnsi="Arial" w:cs="Arial"/>
                <w:i/>
                <w:iCs/>
                <w:sz w:val="20"/>
                <w:szCs w:val="20"/>
                <w:u w:val="single"/>
                <w:lang w:val="ru-RU" w:eastAsia="ko-KR"/>
              </w:rPr>
              <w:t>Working assumption</w:t>
            </w:r>
          </w:p>
          <w:p w14:paraId="53134EC2" w14:textId="77777777" w:rsidR="00E2391B" w:rsidRPr="00E2391B" w:rsidRDefault="00E2391B" w:rsidP="00E2391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right="300"/>
              <w:textAlignment w:val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E2391B">
              <w:rPr>
                <w:rFonts w:ascii="Arial" w:eastAsia="Times New Roman" w:hAnsi="Arial" w:cs="Arial"/>
                <w:sz w:val="20"/>
                <w:szCs w:val="20"/>
                <w:lang w:val="ru-RU" w:eastAsia="ko-KR"/>
              </w:rPr>
              <w:t>For the number of PRBs for resource pool, allow configuration of all  number of PRBs in a SL BWP. </w:t>
            </w:r>
          </w:p>
          <w:p w14:paraId="26C15C3E" w14:textId="77777777" w:rsidR="00E2391B" w:rsidRPr="00E2391B" w:rsidRDefault="00E2391B" w:rsidP="00E2391B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right="300"/>
              <w:textAlignment w:val="auto"/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 w:eastAsia="ko-KR"/>
              </w:rPr>
            </w:pPr>
            <w:r w:rsidRPr="00E2391B"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 w:eastAsia="ko-KR"/>
              </w:rPr>
              <w:t>FFS until RAN1#100bis-e whether/how to deal with remaining PRBs if the configured PRBs for resource pool is not a multiple of subchannel size.</w:t>
            </w:r>
          </w:p>
          <w:p w14:paraId="62F27383" w14:textId="77777777" w:rsidR="00BC05C3" w:rsidRPr="00E2391B" w:rsidRDefault="00BC05C3" w:rsidP="00E2391B">
            <w:pPr>
              <w:pStyle w:val="Style1"/>
              <w:spacing w:after="0" w:afterAutospacing="0" w:line="276" w:lineRule="auto"/>
              <w:ind w:firstLine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D646036" w14:textId="3B8A1D7F" w:rsidR="00BC05C3" w:rsidRDefault="00BC05C3" w:rsidP="00077322">
      <w:pPr>
        <w:pStyle w:val="BodyText"/>
        <w:rPr>
          <w:rFonts w:cs="Arial"/>
        </w:rPr>
      </w:pPr>
    </w:p>
    <w:p w14:paraId="3C9A76F7" w14:textId="56DDD5EB" w:rsidR="006F56D2" w:rsidRDefault="006770B0" w:rsidP="00077322">
      <w:pPr>
        <w:pStyle w:val="BodyText"/>
        <w:rPr>
          <w:rFonts w:cs="Arial"/>
        </w:rPr>
      </w:pPr>
      <w:r>
        <w:rPr>
          <w:rFonts w:cs="Arial"/>
        </w:rPr>
        <w:t xml:space="preserve">For resource pool determination, we propose to reuse the LTE procedure as defined in </w:t>
      </w:r>
      <w:r w:rsidR="005500E9">
        <w:rPr>
          <w:rFonts w:cs="Arial"/>
        </w:rPr>
        <w:t>Subclause 14.1.5 of TS</w:t>
      </w:r>
      <w:r>
        <w:rPr>
          <w:rFonts w:cs="Arial"/>
        </w:rPr>
        <w:t>36.213</w:t>
      </w:r>
      <w:r w:rsidR="005500E9">
        <w:rPr>
          <w:rFonts w:cs="Arial"/>
        </w:rPr>
        <w:t xml:space="preserve">. This means that the working assumptions made in RAN1#100-e holds true and should be confirmed. </w:t>
      </w:r>
    </w:p>
    <w:p w14:paraId="30DF58EA" w14:textId="64887702" w:rsidR="00F41AAD" w:rsidRPr="00F41AAD" w:rsidRDefault="00F41AAD" w:rsidP="008E5B0C">
      <w:pPr>
        <w:pStyle w:val="Proposal"/>
        <w:rPr>
          <w:lang w:val="en-US"/>
        </w:rPr>
      </w:pPr>
      <w:bookmarkStart w:id="1" w:name="_Toc37442810"/>
      <w:r>
        <w:t xml:space="preserve">Confirm the working assumption that </w:t>
      </w:r>
      <w:r w:rsidRPr="00F41AAD">
        <w:rPr>
          <w:lang w:val="ru-RU"/>
        </w:rPr>
        <w:t>slots not having at least Y-th, (Y+1)-th, ....., (Y+X-1)-th symbols in a slot semi-statically for UL as indicated in TDD-UL-DL-ConfigCommon, where  X is sl-LengthSymbols</w:t>
      </w:r>
      <w:r>
        <w:rPr>
          <w:lang w:val="en-US"/>
        </w:rPr>
        <w:t xml:space="preserve"> and </w:t>
      </w:r>
      <w:r w:rsidRPr="00F41AAD">
        <w:rPr>
          <w:lang w:val="ru-RU"/>
        </w:rPr>
        <w:t>Y is sl-StartSymbol</w:t>
      </w:r>
      <w:r>
        <w:rPr>
          <w:lang w:val="en-US"/>
        </w:rPr>
        <w:t>.</w:t>
      </w:r>
      <w:bookmarkEnd w:id="1"/>
    </w:p>
    <w:p w14:paraId="35B05A02" w14:textId="68008644" w:rsidR="00F41AAD" w:rsidRPr="00F41AAD" w:rsidRDefault="00F41AAD" w:rsidP="00F41AAD">
      <w:pPr>
        <w:pStyle w:val="Proposal"/>
        <w:rPr>
          <w:rStyle w:val="Strong"/>
          <w:b/>
          <w:bCs/>
        </w:rPr>
      </w:pPr>
      <w:bookmarkStart w:id="2" w:name="_Toc37442811"/>
      <w:r>
        <w:t xml:space="preserve">Confirm the working assumption that </w:t>
      </w:r>
      <w:r w:rsidRPr="00D736FE">
        <w:rPr>
          <w:rFonts w:cs="Arial"/>
          <w:lang w:val="ru-RU" w:eastAsia="ko-KR"/>
        </w:rPr>
        <w:t>reserved slots which are determined by the similar steps in Subclause 14.1.5 of TS36.213</w:t>
      </w:r>
      <w:r>
        <w:rPr>
          <w:rStyle w:val="Strong"/>
          <w:rFonts w:cs="Arial"/>
          <w:lang w:val="en-US" w:eastAsia="ko-KR"/>
        </w:rPr>
        <w:t>.</w:t>
      </w:r>
      <w:bookmarkEnd w:id="2"/>
    </w:p>
    <w:p w14:paraId="3D0A6CAB" w14:textId="3B3BDE17" w:rsidR="006B0764" w:rsidRDefault="00F41AAD" w:rsidP="00926D1D">
      <w:pPr>
        <w:jc w:val="both"/>
        <w:rPr>
          <w:rFonts w:ascii="Arial" w:hAnsi="Arial" w:cs="Arial"/>
          <w:lang w:eastAsia="zh-CN"/>
        </w:rPr>
      </w:pPr>
      <w:r w:rsidRPr="00D63880">
        <w:rPr>
          <w:rFonts w:ascii="Arial" w:hAnsi="Arial" w:cs="Arial"/>
          <w:lang w:eastAsia="zh-CN"/>
        </w:rPr>
        <w:t>When it comes to the periodicity</w:t>
      </w:r>
      <w:r w:rsidR="004958A2" w:rsidRPr="00D63880">
        <w:rPr>
          <w:rFonts w:ascii="Arial" w:hAnsi="Arial" w:cs="Arial"/>
          <w:lang w:eastAsia="zh-CN"/>
        </w:rPr>
        <w:t xml:space="preserve"> value, </w:t>
      </w:r>
      <w:r w:rsidR="00E64F29">
        <w:rPr>
          <w:rFonts w:ascii="Arial" w:hAnsi="Arial" w:cs="Arial"/>
          <w:lang w:eastAsia="zh-CN"/>
        </w:rPr>
        <w:t>in LTE SFN cycle is used which contains 10240 subframes</w:t>
      </w:r>
      <w:r w:rsidR="001964F1">
        <w:rPr>
          <w:rFonts w:ascii="Arial" w:hAnsi="Arial" w:cs="Arial"/>
          <w:lang w:eastAsia="zh-CN"/>
        </w:rPr>
        <w:t xml:space="preserve">. </w:t>
      </w:r>
      <w:r w:rsidR="0096631C">
        <w:rPr>
          <w:rFonts w:ascii="Arial" w:hAnsi="Arial" w:cs="Arial"/>
          <w:lang w:eastAsia="zh-CN"/>
        </w:rPr>
        <w:t>Also,</w:t>
      </w:r>
      <w:r w:rsidR="00C26D9F">
        <w:rPr>
          <w:rFonts w:ascii="Arial" w:hAnsi="Arial" w:cs="Arial"/>
          <w:lang w:eastAsia="zh-CN"/>
        </w:rPr>
        <w:t xml:space="preserve"> </w:t>
      </w:r>
      <w:r w:rsidR="0096631C">
        <w:rPr>
          <w:rFonts w:ascii="Arial" w:hAnsi="Arial" w:cs="Arial"/>
          <w:lang w:eastAsia="zh-CN"/>
        </w:rPr>
        <w:t>in NR</w:t>
      </w:r>
      <w:r w:rsidR="00C26D9F">
        <w:rPr>
          <w:rFonts w:ascii="Arial" w:hAnsi="Arial" w:cs="Arial"/>
          <w:lang w:eastAsia="zh-CN"/>
        </w:rPr>
        <w:t>,</w:t>
      </w:r>
      <w:r w:rsidR="00C4788C">
        <w:rPr>
          <w:rFonts w:ascii="Arial" w:hAnsi="Arial" w:cs="Arial"/>
          <w:lang w:eastAsia="zh-CN"/>
        </w:rPr>
        <w:t xml:space="preserve"> we propose to use</w:t>
      </w:r>
      <w:r w:rsidR="00131E51">
        <w:rPr>
          <w:rFonts w:ascii="Arial" w:hAnsi="Arial" w:cs="Arial"/>
          <w:lang w:eastAsia="zh-CN"/>
        </w:rPr>
        <w:t xml:space="preserve"> the fixed</w:t>
      </w:r>
      <w:r w:rsidR="00C4788C">
        <w:rPr>
          <w:rFonts w:ascii="Arial" w:hAnsi="Arial" w:cs="Arial"/>
          <w:lang w:eastAsia="zh-CN"/>
        </w:rPr>
        <w:t xml:space="preserve"> </w:t>
      </w:r>
      <w:r w:rsidR="004913AA">
        <w:rPr>
          <w:rFonts w:ascii="Arial" w:hAnsi="Arial" w:cs="Arial"/>
          <w:lang w:eastAsia="zh-CN"/>
        </w:rPr>
        <w:t xml:space="preserve">periodicity </w:t>
      </w:r>
      <w:r w:rsidR="00A9565D">
        <w:rPr>
          <w:rFonts w:ascii="Arial" w:hAnsi="Arial" w:cs="Arial"/>
          <w:lang w:eastAsia="zh-CN"/>
        </w:rPr>
        <w:t>value</w:t>
      </w:r>
      <w:r w:rsidR="001253EE">
        <w:rPr>
          <w:rFonts w:ascii="Arial" w:hAnsi="Arial" w:cs="Arial"/>
          <w:lang w:eastAsia="zh-CN"/>
        </w:rPr>
        <w:t xml:space="preserve"> of </w:t>
      </w:r>
      <w:r w:rsidR="0096631C">
        <w:rPr>
          <w:rFonts w:ascii="Arial" w:hAnsi="Arial" w:cs="Arial"/>
          <w:lang w:eastAsia="zh-CN"/>
        </w:rPr>
        <w:t>SFN period i.e.</w:t>
      </w:r>
      <w:r w:rsidR="001253EE">
        <w:rPr>
          <w:rFonts w:ascii="Arial" w:hAnsi="Arial" w:cs="Arial"/>
          <w:lang w:eastAsia="zh-CN"/>
        </w:rPr>
        <w:t xml:space="preserve">10240 </w:t>
      </w:r>
      <w:r w:rsidR="008E5B0C">
        <w:rPr>
          <w:rFonts w:ascii="Arial" w:hAnsi="Arial" w:cs="Arial"/>
          <w:lang w:eastAsia="zh-CN"/>
        </w:rPr>
        <w:t>subframes or 10240ms</w:t>
      </w:r>
      <w:r w:rsidR="006B0764">
        <w:rPr>
          <w:rFonts w:ascii="Arial" w:hAnsi="Arial" w:cs="Arial"/>
          <w:lang w:eastAsia="zh-CN"/>
        </w:rPr>
        <w:t>.</w:t>
      </w:r>
    </w:p>
    <w:p w14:paraId="27B8E480" w14:textId="29E66245" w:rsidR="00F41AAD" w:rsidRPr="00D63880" w:rsidRDefault="00D81207" w:rsidP="006B0764">
      <w:pPr>
        <w:pStyle w:val="Proposal"/>
      </w:pPr>
      <w:bookmarkStart w:id="3" w:name="_Toc37442812"/>
      <w:r>
        <w:t xml:space="preserve">Periodicity </w:t>
      </w:r>
      <w:r w:rsidR="006B0764">
        <w:t xml:space="preserve">value </w:t>
      </w:r>
      <w:r w:rsidR="009B5807">
        <w:t xml:space="preserve">of 10240 </w:t>
      </w:r>
      <w:proofErr w:type="spellStart"/>
      <w:r w:rsidR="005834CD">
        <w:t>ms</w:t>
      </w:r>
      <w:proofErr w:type="spellEnd"/>
      <w:r w:rsidR="009B5807">
        <w:t xml:space="preserve"> is </w:t>
      </w:r>
      <w:r w:rsidR="005834CD">
        <w:t>fixed</w:t>
      </w:r>
      <w:r w:rsidR="009B5807">
        <w:t>.</w:t>
      </w:r>
      <w:bookmarkEnd w:id="3"/>
      <w:r w:rsidR="009B5807">
        <w:t xml:space="preserve"> </w:t>
      </w:r>
      <w:r w:rsidR="00111E8A">
        <w:t xml:space="preserve"> </w:t>
      </w:r>
    </w:p>
    <w:p w14:paraId="5EAD8C91" w14:textId="1E022390" w:rsidR="00077322" w:rsidRDefault="006058D2" w:rsidP="00926D1D">
      <w:pPr>
        <w:jc w:val="both"/>
        <w:rPr>
          <w:lang w:val="en-US"/>
        </w:rPr>
      </w:pPr>
      <w:r w:rsidRPr="00926D1D">
        <w:rPr>
          <w:rFonts w:ascii="Arial" w:hAnsi="Arial" w:cs="Arial"/>
          <w:lang w:eastAsia="zh-CN"/>
        </w:rPr>
        <w:t xml:space="preserve">Furthermore, there has been extensive discussion on </w:t>
      </w:r>
      <w:r w:rsidR="00DC5A66" w:rsidRPr="00926D1D">
        <w:rPr>
          <w:rFonts w:ascii="Arial" w:hAnsi="Arial" w:cs="Arial"/>
          <w:lang w:eastAsia="zh-CN"/>
        </w:rPr>
        <w:t>whether/how to</w:t>
      </w:r>
      <w:r w:rsidRPr="00926D1D">
        <w:rPr>
          <w:rFonts w:ascii="Arial" w:hAnsi="Arial" w:cs="Arial"/>
          <w:lang w:eastAsia="zh-CN"/>
        </w:rPr>
        <w:t xml:space="preserve"> use </w:t>
      </w:r>
      <w:r w:rsidR="00DC5A66" w:rsidRPr="00926D1D">
        <w:rPr>
          <w:rFonts w:ascii="Arial" w:hAnsi="Arial" w:cs="Arial"/>
          <w:lang w:eastAsia="zh-CN"/>
        </w:rPr>
        <w:t xml:space="preserve">the remaining PRBs if the configured PRBs for resource pool is not a multiple of subchannel size. In our view, such optimization is not necessary </w:t>
      </w:r>
      <w:proofErr w:type="gramStart"/>
      <w:r w:rsidR="00DC5A66" w:rsidRPr="00926D1D">
        <w:rPr>
          <w:rFonts w:ascii="Arial" w:hAnsi="Arial" w:cs="Arial"/>
          <w:lang w:eastAsia="zh-CN"/>
        </w:rPr>
        <w:t>at this point in time</w:t>
      </w:r>
      <w:proofErr w:type="gramEnd"/>
      <w:r w:rsidR="00DC5A66" w:rsidRPr="00926D1D">
        <w:rPr>
          <w:rFonts w:ascii="Arial" w:hAnsi="Arial" w:cs="Arial"/>
          <w:lang w:eastAsia="zh-CN"/>
        </w:rPr>
        <w:t xml:space="preserve"> as it may</w:t>
      </w:r>
      <w:r w:rsidR="003D7B16" w:rsidRPr="00926D1D">
        <w:rPr>
          <w:rFonts w:ascii="Arial" w:hAnsi="Arial" w:cs="Arial"/>
          <w:lang w:eastAsia="zh-CN"/>
        </w:rPr>
        <w:t xml:space="preserve"> lead to different subchannel sizes within a resource pool</w:t>
      </w:r>
      <w:r w:rsidR="008D1B65" w:rsidRPr="00926D1D">
        <w:rPr>
          <w:rFonts w:ascii="Arial" w:hAnsi="Arial" w:cs="Arial"/>
          <w:lang w:eastAsia="zh-CN"/>
        </w:rPr>
        <w:t xml:space="preserve">. Given that </w:t>
      </w:r>
      <w:r w:rsidR="00E40893" w:rsidRPr="00926D1D">
        <w:rPr>
          <w:rFonts w:ascii="Arial" w:hAnsi="Arial" w:cs="Arial"/>
          <w:lang w:eastAsia="zh-CN"/>
        </w:rPr>
        <w:t xml:space="preserve">all the procedures </w:t>
      </w:r>
      <w:r w:rsidR="008C7711" w:rsidRPr="00926D1D">
        <w:rPr>
          <w:rFonts w:ascii="Arial" w:hAnsi="Arial" w:cs="Arial"/>
          <w:lang w:eastAsia="zh-CN"/>
        </w:rPr>
        <w:t xml:space="preserve">are defined considering same subchannel size, such optimization </w:t>
      </w:r>
      <w:r w:rsidR="006C58D1" w:rsidRPr="00926D1D">
        <w:rPr>
          <w:rFonts w:ascii="Arial" w:hAnsi="Arial" w:cs="Arial"/>
          <w:lang w:eastAsia="zh-CN"/>
        </w:rPr>
        <w:t>may lead to large standardization effort</w:t>
      </w:r>
      <w:r w:rsidR="00256520" w:rsidRPr="00926D1D">
        <w:rPr>
          <w:rFonts w:ascii="Arial" w:hAnsi="Arial" w:cs="Arial"/>
          <w:lang w:eastAsia="zh-CN"/>
        </w:rPr>
        <w:t xml:space="preserve">s which is </w:t>
      </w:r>
      <w:proofErr w:type="gramStart"/>
      <w:r w:rsidR="00256520" w:rsidRPr="00926D1D">
        <w:rPr>
          <w:rFonts w:ascii="Arial" w:hAnsi="Arial" w:cs="Arial"/>
          <w:lang w:eastAsia="zh-CN"/>
        </w:rPr>
        <w:t>absolutely undesirable</w:t>
      </w:r>
      <w:proofErr w:type="gramEnd"/>
      <w:r w:rsidR="00256520" w:rsidRPr="00926D1D">
        <w:rPr>
          <w:rFonts w:ascii="Arial" w:hAnsi="Arial" w:cs="Arial"/>
          <w:lang w:eastAsia="zh-CN"/>
        </w:rPr>
        <w:t xml:space="preserve"> at this phase. Furthermore, we believe that a proper configuration of resource pool and subchannel size can mitigate the resour</w:t>
      </w:r>
      <w:r w:rsidR="00E2693D" w:rsidRPr="00926D1D">
        <w:rPr>
          <w:rFonts w:ascii="Arial" w:hAnsi="Arial" w:cs="Arial"/>
          <w:lang w:eastAsia="zh-CN"/>
        </w:rPr>
        <w:t xml:space="preserve">ce </w:t>
      </w:r>
      <w:r w:rsidR="00646D0E" w:rsidRPr="00926D1D">
        <w:rPr>
          <w:rFonts w:ascii="Arial" w:hAnsi="Arial" w:cs="Arial"/>
          <w:lang w:eastAsia="zh-CN"/>
        </w:rPr>
        <w:t>wastage</w:t>
      </w:r>
      <w:r w:rsidR="00646D0E">
        <w:rPr>
          <w:lang w:val="en-US"/>
        </w:rPr>
        <w:t xml:space="preserve">. </w:t>
      </w:r>
    </w:p>
    <w:p w14:paraId="531B150B" w14:textId="07EEDCDF" w:rsidR="00646D0E" w:rsidRPr="00077322" w:rsidRDefault="00646D0E" w:rsidP="00646D0E">
      <w:pPr>
        <w:pStyle w:val="Proposal"/>
        <w:rPr>
          <w:lang w:val="en-US"/>
        </w:rPr>
      </w:pPr>
      <w:bookmarkStart w:id="4" w:name="_Toc37442813"/>
      <w:r>
        <w:rPr>
          <w:lang w:val="en-US"/>
        </w:rPr>
        <w:t xml:space="preserve">No further enhancements are </w:t>
      </w:r>
      <w:r w:rsidR="00226ED2">
        <w:rPr>
          <w:lang w:val="en-US"/>
        </w:rPr>
        <w:t xml:space="preserve">needed for </w:t>
      </w:r>
      <w:r w:rsidR="00FA2F06">
        <w:rPr>
          <w:lang w:val="en-US"/>
        </w:rPr>
        <w:t xml:space="preserve">PRB configuration </w:t>
      </w:r>
      <w:r w:rsidR="00BE58F3">
        <w:rPr>
          <w:lang w:val="en-US"/>
        </w:rPr>
        <w:t>of resource pool.</w:t>
      </w:r>
      <w:bookmarkEnd w:id="4"/>
      <w:r w:rsidR="00BE58F3">
        <w:rPr>
          <w:lang w:val="en-US"/>
        </w:rPr>
        <w:t xml:space="preserve"> </w:t>
      </w:r>
    </w:p>
    <w:p w14:paraId="234B9CF4" w14:textId="46A11D42" w:rsidR="00C01F33" w:rsidRPr="00CE0424" w:rsidRDefault="00F9083E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30F6A381" w14:textId="231B417F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 we propose the following:</w:t>
      </w:r>
    </w:p>
    <w:bookmarkStart w:id="5" w:name="_GoBack"/>
    <w:bookmarkEnd w:id="5"/>
    <w:p w14:paraId="536A8807" w14:textId="30A8D323" w:rsidR="00291428" w:rsidRDefault="006E1C82" w:rsidP="002914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7442810" w:history="1">
        <w:r w:rsidR="00291428" w:rsidRPr="00BD3DDA">
          <w:rPr>
            <w:rStyle w:val="Hyperlink"/>
            <w:noProof/>
            <w:lang w:val="en-US"/>
          </w:rPr>
          <w:t>Proposal 1</w:t>
        </w:r>
        <w:r w:rsidR="0029142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291428" w:rsidRPr="00BD3DDA">
          <w:rPr>
            <w:rStyle w:val="Hyperlink"/>
            <w:noProof/>
          </w:rPr>
          <w:t xml:space="preserve">Confirm the working assumption that </w:t>
        </w:r>
        <w:r w:rsidR="00291428" w:rsidRPr="00BD3DDA">
          <w:rPr>
            <w:rStyle w:val="Hyperlink"/>
            <w:noProof/>
            <w:lang w:val="ru-RU"/>
          </w:rPr>
          <w:t>slots not having at least Y-th, (Y+1)-th, ....., (Y+X-1)-th symbols in a slot semi-statically for UL as indicated in TDD-UL-DL-ConfigCommon, where  X is sl-LengthSymbols</w:t>
        </w:r>
        <w:r w:rsidR="00291428" w:rsidRPr="00BD3DDA">
          <w:rPr>
            <w:rStyle w:val="Hyperlink"/>
            <w:noProof/>
            <w:lang w:val="en-US"/>
          </w:rPr>
          <w:t xml:space="preserve"> and </w:t>
        </w:r>
        <w:r w:rsidR="00291428" w:rsidRPr="00BD3DDA">
          <w:rPr>
            <w:rStyle w:val="Hyperlink"/>
            <w:noProof/>
            <w:lang w:val="ru-RU"/>
          </w:rPr>
          <w:t>Y is sl-StartSymbol</w:t>
        </w:r>
        <w:r w:rsidR="00291428" w:rsidRPr="00BD3DDA">
          <w:rPr>
            <w:rStyle w:val="Hyperlink"/>
            <w:noProof/>
            <w:lang w:val="en-US"/>
          </w:rPr>
          <w:t>.</w:t>
        </w:r>
      </w:hyperlink>
    </w:p>
    <w:p w14:paraId="38F14F48" w14:textId="60F651AB" w:rsidR="00291428" w:rsidRDefault="00291428" w:rsidP="002914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37442811" w:history="1">
        <w:r w:rsidRPr="00BD3DDA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BD3DDA">
          <w:rPr>
            <w:rStyle w:val="Hyperlink"/>
            <w:noProof/>
          </w:rPr>
          <w:t xml:space="preserve">Confirm the working assumption that </w:t>
        </w:r>
        <w:r w:rsidRPr="00BD3DDA">
          <w:rPr>
            <w:rStyle w:val="Hyperlink"/>
            <w:rFonts w:cs="Arial"/>
            <w:noProof/>
            <w:lang w:val="ru-RU" w:eastAsia="ko-KR"/>
          </w:rPr>
          <w:t>reserved slots which are determined by the similar steps in Subclause 14.1.5 of TS36.213</w:t>
        </w:r>
        <w:r w:rsidRPr="00BD3DDA">
          <w:rPr>
            <w:rStyle w:val="Hyperlink"/>
            <w:rFonts w:cs="Arial"/>
            <w:noProof/>
            <w:lang w:val="en-US" w:eastAsia="ko-KR"/>
          </w:rPr>
          <w:t>.</w:t>
        </w:r>
      </w:hyperlink>
    </w:p>
    <w:p w14:paraId="1C7B55B9" w14:textId="1A5C85A2" w:rsidR="00291428" w:rsidRDefault="00291428" w:rsidP="002914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37442812" w:history="1">
        <w:r w:rsidRPr="00BD3DDA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BD3DDA">
          <w:rPr>
            <w:rStyle w:val="Hyperlink"/>
            <w:noProof/>
          </w:rPr>
          <w:t>Periodicity value of 10240 ms is fixed.</w:t>
        </w:r>
      </w:hyperlink>
    </w:p>
    <w:p w14:paraId="42946882" w14:textId="339BA31B" w:rsidR="00291428" w:rsidRDefault="00291428" w:rsidP="002914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37442813" w:history="1">
        <w:r w:rsidRPr="00BD3DDA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BD3DDA">
          <w:rPr>
            <w:rStyle w:val="Hyperlink"/>
            <w:noProof/>
            <w:lang w:val="en-US"/>
          </w:rPr>
          <w:t>No further enhancements are needed for PRB configuration of resource pool.</w:t>
        </w:r>
      </w:hyperlink>
    </w:p>
    <w:p w14:paraId="7B007031" w14:textId="180A04E5" w:rsidR="00C01F33" w:rsidRPr="00CE0424" w:rsidRDefault="006E1C82" w:rsidP="00163BFB">
      <w:pPr>
        <w:pStyle w:val="BodyText"/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5C688276" w14:textId="77777777" w:rsidR="003A7EF3" w:rsidRPr="00CE0424" w:rsidRDefault="003A7EF3" w:rsidP="00CE0424">
      <w:pPr>
        <w:pStyle w:val="BodyText"/>
      </w:pPr>
      <w:bookmarkStart w:id="6" w:name="_In-sequence_SDU_delivery"/>
      <w:bookmarkEnd w:id="6"/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86120" w14:textId="77777777" w:rsidR="009F393D" w:rsidRDefault="009F393D">
      <w:r>
        <w:separator/>
      </w:r>
    </w:p>
  </w:endnote>
  <w:endnote w:type="continuationSeparator" w:id="0">
    <w:p w14:paraId="73337F9B" w14:textId="77777777" w:rsidR="009F393D" w:rsidRDefault="009F393D">
      <w:r>
        <w:continuationSeparator/>
      </w:r>
    </w:p>
  </w:endnote>
  <w:endnote w:type="continuationNotice" w:id="1">
    <w:p w14:paraId="1098C208" w14:textId="77777777" w:rsidR="009F393D" w:rsidRDefault="009F39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1B036" w14:textId="77777777" w:rsidR="009F393D" w:rsidRDefault="009F393D">
      <w:r>
        <w:separator/>
      </w:r>
    </w:p>
  </w:footnote>
  <w:footnote w:type="continuationSeparator" w:id="0">
    <w:p w14:paraId="3755C749" w14:textId="77777777" w:rsidR="009F393D" w:rsidRDefault="009F393D">
      <w:r>
        <w:continuationSeparator/>
      </w:r>
    </w:p>
  </w:footnote>
  <w:footnote w:type="continuationNotice" w:id="1">
    <w:p w14:paraId="39B47F75" w14:textId="77777777" w:rsidR="009F393D" w:rsidRDefault="009F39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AD2AC0"/>
    <w:multiLevelType w:val="hybridMultilevel"/>
    <w:tmpl w:val="64FC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0091C"/>
    <w:multiLevelType w:val="hybridMultilevel"/>
    <w:tmpl w:val="EFE82740"/>
    <w:lvl w:ilvl="0" w:tplc="0FE2D2BC">
      <w:start w:val="7"/>
      <w:numFmt w:val="bullet"/>
      <w:lvlText w:val="-"/>
      <w:lvlJc w:val="left"/>
      <w:pPr>
        <w:ind w:left="2061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172F8"/>
    <w:multiLevelType w:val="hybridMultilevel"/>
    <w:tmpl w:val="AD60D1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E7E14"/>
    <w:multiLevelType w:val="hybridMultilevel"/>
    <w:tmpl w:val="2CA62318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A61596"/>
    <w:multiLevelType w:val="hybridMultilevel"/>
    <w:tmpl w:val="AE28A4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862CFF"/>
    <w:multiLevelType w:val="hybridMultilevel"/>
    <w:tmpl w:val="D9949160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26B449C"/>
    <w:multiLevelType w:val="hybridMultilevel"/>
    <w:tmpl w:val="ADDA13AA"/>
    <w:lvl w:ilvl="0" w:tplc="0809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2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5"/>
  </w:num>
  <w:num w:numId="17">
    <w:abstractNumId w:val="7"/>
  </w:num>
  <w:num w:numId="18">
    <w:abstractNumId w:val="8"/>
  </w:num>
  <w:num w:numId="19">
    <w:abstractNumId w:val="4"/>
  </w:num>
  <w:num w:numId="20">
    <w:abstractNumId w:val="28"/>
  </w:num>
  <w:num w:numId="21">
    <w:abstractNumId w:val="12"/>
  </w:num>
  <w:num w:numId="22">
    <w:abstractNumId w:val="26"/>
  </w:num>
  <w:num w:numId="23">
    <w:abstractNumId w:val="23"/>
  </w:num>
  <w:num w:numId="24">
    <w:abstractNumId w:val="27"/>
  </w:num>
  <w:num w:numId="25">
    <w:abstractNumId w:val="6"/>
  </w:num>
  <w:num w:numId="26">
    <w:abstractNumId w:val="5"/>
  </w:num>
  <w:num w:numId="27">
    <w:abstractNumId w:val="24"/>
  </w:num>
  <w:num w:numId="28">
    <w:abstractNumId w:val="18"/>
  </w:num>
  <w:num w:numId="29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32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448"/>
    <w:rsid w:val="000C7A75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E8A"/>
    <w:rsid w:val="00113CF4"/>
    <w:rsid w:val="001153EA"/>
    <w:rsid w:val="00115643"/>
    <w:rsid w:val="00116765"/>
    <w:rsid w:val="001219F5"/>
    <w:rsid w:val="00121A20"/>
    <w:rsid w:val="0012377F"/>
    <w:rsid w:val="00124314"/>
    <w:rsid w:val="001253EE"/>
    <w:rsid w:val="00126B4A"/>
    <w:rsid w:val="00131E51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3BFB"/>
    <w:rsid w:val="001659C1"/>
    <w:rsid w:val="00173A8E"/>
    <w:rsid w:val="0017502C"/>
    <w:rsid w:val="0018143F"/>
    <w:rsid w:val="00181FF8"/>
    <w:rsid w:val="00190AC1"/>
    <w:rsid w:val="001931D0"/>
    <w:rsid w:val="0019341A"/>
    <w:rsid w:val="001964F1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ED2"/>
    <w:rsid w:val="00230765"/>
    <w:rsid w:val="00230D18"/>
    <w:rsid w:val="002319E4"/>
    <w:rsid w:val="00235632"/>
    <w:rsid w:val="00235872"/>
    <w:rsid w:val="00241559"/>
    <w:rsid w:val="002435B3"/>
    <w:rsid w:val="00244E5F"/>
    <w:rsid w:val="002458EB"/>
    <w:rsid w:val="00246C96"/>
    <w:rsid w:val="002500C8"/>
    <w:rsid w:val="00256520"/>
    <w:rsid w:val="00257543"/>
    <w:rsid w:val="00257A55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1428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7772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204C"/>
    <w:rsid w:val="00357380"/>
    <w:rsid w:val="003602D9"/>
    <w:rsid w:val="003604CE"/>
    <w:rsid w:val="00370E47"/>
    <w:rsid w:val="003742AC"/>
    <w:rsid w:val="00374FD9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7B16"/>
    <w:rsid w:val="003E15FA"/>
    <w:rsid w:val="003E55E4"/>
    <w:rsid w:val="003E74E3"/>
    <w:rsid w:val="003F05C7"/>
    <w:rsid w:val="003F2CD4"/>
    <w:rsid w:val="003F6BBE"/>
    <w:rsid w:val="004000E8"/>
    <w:rsid w:val="00401FAF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6D7"/>
    <w:rsid w:val="00422AA4"/>
    <w:rsid w:val="004236F3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13AA"/>
    <w:rsid w:val="00492BC5"/>
    <w:rsid w:val="004958A2"/>
    <w:rsid w:val="004964F1"/>
    <w:rsid w:val="004A16BC"/>
    <w:rsid w:val="004A2B94"/>
    <w:rsid w:val="004B6F6A"/>
    <w:rsid w:val="004B7C0C"/>
    <w:rsid w:val="004C3898"/>
    <w:rsid w:val="004D36B1"/>
    <w:rsid w:val="004D75D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00E9"/>
    <w:rsid w:val="00554E19"/>
    <w:rsid w:val="0056121F"/>
    <w:rsid w:val="00572505"/>
    <w:rsid w:val="00582809"/>
    <w:rsid w:val="005834CD"/>
    <w:rsid w:val="0058798C"/>
    <w:rsid w:val="005900FA"/>
    <w:rsid w:val="005935A4"/>
    <w:rsid w:val="00594119"/>
    <w:rsid w:val="005948C2"/>
    <w:rsid w:val="00595DCA"/>
    <w:rsid w:val="0059779B"/>
    <w:rsid w:val="005A209A"/>
    <w:rsid w:val="005A63F9"/>
    <w:rsid w:val="005A662D"/>
    <w:rsid w:val="005B1409"/>
    <w:rsid w:val="005B35D7"/>
    <w:rsid w:val="005B392A"/>
    <w:rsid w:val="005B3AA3"/>
    <w:rsid w:val="005B53D2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58D2"/>
    <w:rsid w:val="00605967"/>
    <w:rsid w:val="006065A2"/>
    <w:rsid w:val="00611B83"/>
    <w:rsid w:val="00613257"/>
    <w:rsid w:val="00620A71"/>
    <w:rsid w:val="00620C4F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748"/>
    <w:rsid w:val="0064624E"/>
    <w:rsid w:val="00646D0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0B0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0764"/>
    <w:rsid w:val="006B1816"/>
    <w:rsid w:val="006B2099"/>
    <w:rsid w:val="006B50CF"/>
    <w:rsid w:val="006C03B8"/>
    <w:rsid w:val="006C58D1"/>
    <w:rsid w:val="006C5EC9"/>
    <w:rsid w:val="006C6059"/>
    <w:rsid w:val="006C7522"/>
    <w:rsid w:val="006D6F08"/>
    <w:rsid w:val="006E062C"/>
    <w:rsid w:val="006E1C82"/>
    <w:rsid w:val="006E28B7"/>
    <w:rsid w:val="006E2A9B"/>
    <w:rsid w:val="006E2B62"/>
    <w:rsid w:val="006E3310"/>
    <w:rsid w:val="006E4E39"/>
    <w:rsid w:val="006E565E"/>
    <w:rsid w:val="006E673D"/>
    <w:rsid w:val="006E7D3B"/>
    <w:rsid w:val="006F1B70"/>
    <w:rsid w:val="006F341D"/>
    <w:rsid w:val="006F3CDE"/>
    <w:rsid w:val="006F56D2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27B15"/>
    <w:rsid w:val="007348B1"/>
    <w:rsid w:val="007362A6"/>
    <w:rsid w:val="00736D7D"/>
    <w:rsid w:val="00740E58"/>
    <w:rsid w:val="007445A0"/>
    <w:rsid w:val="0074524B"/>
    <w:rsid w:val="0074738C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14C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0AB1"/>
    <w:rsid w:val="008677FD"/>
    <w:rsid w:val="008706D4"/>
    <w:rsid w:val="00870F8A"/>
    <w:rsid w:val="008719A4"/>
    <w:rsid w:val="00871D23"/>
    <w:rsid w:val="00874312"/>
    <w:rsid w:val="0087437C"/>
    <w:rsid w:val="00875CD7"/>
    <w:rsid w:val="0087634A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7B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711"/>
    <w:rsid w:val="008D00A5"/>
    <w:rsid w:val="008D1B65"/>
    <w:rsid w:val="008D34F1"/>
    <w:rsid w:val="008D39D8"/>
    <w:rsid w:val="008D6D1A"/>
    <w:rsid w:val="008E065E"/>
    <w:rsid w:val="008E0927"/>
    <w:rsid w:val="008E1909"/>
    <w:rsid w:val="008E5B0C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F6B"/>
    <w:rsid w:val="00926D1D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31C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5807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4D22"/>
    <w:rsid w:val="009E6691"/>
    <w:rsid w:val="009F08F3"/>
    <w:rsid w:val="009F344F"/>
    <w:rsid w:val="009F393D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0973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565D"/>
    <w:rsid w:val="00AA016F"/>
    <w:rsid w:val="00AA0854"/>
    <w:rsid w:val="00AA1ED6"/>
    <w:rsid w:val="00AA37FB"/>
    <w:rsid w:val="00AA51D6"/>
    <w:rsid w:val="00AB0BC8"/>
    <w:rsid w:val="00AB11CA"/>
    <w:rsid w:val="00AB14D9"/>
    <w:rsid w:val="00AB16AD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0AE2"/>
    <w:rsid w:val="00B372AA"/>
    <w:rsid w:val="00B40445"/>
    <w:rsid w:val="00B409E0"/>
    <w:rsid w:val="00B41888"/>
    <w:rsid w:val="00B45A52"/>
    <w:rsid w:val="00B46175"/>
    <w:rsid w:val="00B548B7"/>
    <w:rsid w:val="00B63785"/>
    <w:rsid w:val="00B664C7"/>
    <w:rsid w:val="00B66E3D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5C3"/>
    <w:rsid w:val="00BC0FDC"/>
    <w:rsid w:val="00BC3053"/>
    <w:rsid w:val="00BC4D2E"/>
    <w:rsid w:val="00BD48AC"/>
    <w:rsid w:val="00BD5F1A"/>
    <w:rsid w:val="00BE1234"/>
    <w:rsid w:val="00BE2FA6"/>
    <w:rsid w:val="00BE333F"/>
    <w:rsid w:val="00BE58F3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3AD"/>
    <w:rsid w:val="00C12107"/>
    <w:rsid w:val="00C133F1"/>
    <w:rsid w:val="00C14D4B"/>
    <w:rsid w:val="00C154BB"/>
    <w:rsid w:val="00C26D9F"/>
    <w:rsid w:val="00C279B5"/>
    <w:rsid w:val="00C27C45"/>
    <w:rsid w:val="00C3719D"/>
    <w:rsid w:val="00C37CB2"/>
    <w:rsid w:val="00C473A5"/>
    <w:rsid w:val="00C4788C"/>
    <w:rsid w:val="00C5293C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595"/>
    <w:rsid w:val="00CD2ED1"/>
    <w:rsid w:val="00CD337B"/>
    <w:rsid w:val="00CE0424"/>
    <w:rsid w:val="00CE1FD1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0F55"/>
    <w:rsid w:val="00D36DD5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880"/>
    <w:rsid w:val="00D652B5"/>
    <w:rsid w:val="00D66155"/>
    <w:rsid w:val="00D708B0"/>
    <w:rsid w:val="00D736FE"/>
    <w:rsid w:val="00D77B1D"/>
    <w:rsid w:val="00D8021F"/>
    <w:rsid w:val="00D80383"/>
    <w:rsid w:val="00D81207"/>
    <w:rsid w:val="00D823C6"/>
    <w:rsid w:val="00D8327F"/>
    <w:rsid w:val="00D86CA3"/>
    <w:rsid w:val="00D871CE"/>
    <w:rsid w:val="00D9196D"/>
    <w:rsid w:val="00D92982"/>
    <w:rsid w:val="00DA0E33"/>
    <w:rsid w:val="00DA305E"/>
    <w:rsid w:val="00DA5417"/>
    <w:rsid w:val="00DA56E8"/>
    <w:rsid w:val="00DB0A9F"/>
    <w:rsid w:val="00DB377D"/>
    <w:rsid w:val="00DB3A85"/>
    <w:rsid w:val="00DC23D0"/>
    <w:rsid w:val="00DC2D36"/>
    <w:rsid w:val="00DC53EF"/>
    <w:rsid w:val="00DC5A66"/>
    <w:rsid w:val="00DE03A6"/>
    <w:rsid w:val="00DE5608"/>
    <w:rsid w:val="00DE58D0"/>
    <w:rsid w:val="00DE654F"/>
    <w:rsid w:val="00DF0B6E"/>
    <w:rsid w:val="00DF15E0"/>
    <w:rsid w:val="00DF37A0"/>
    <w:rsid w:val="00E047FB"/>
    <w:rsid w:val="00E110E7"/>
    <w:rsid w:val="00E11B20"/>
    <w:rsid w:val="00E17FA2"/>
    <w:rsid w:val="00E22330"/>
    <w:rsid w:val="00E2391B"/>
    <w:rsid w:val="00E2693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893"/>
    <w:rsid w:val="00E446F1"/>
    <w:rsid w:val="00E46886"/>
    <w:rsid w:val="00E47AEF"/>
    <w:rsid w:val="00E53B75"/>
    <w:rsid w:val="00E54E3B"/>
    <w:rsid w:val="00E57565"/>
    <w:rsid w:val="00E63838"/>
    <w:rsid w:val="00E64434"/>
    <w:rsid w:val="00E64F29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460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3B3"/>
    <w:rsid w:val="00F30828"/>
    <w:rsid w:val="00F313D6"/>
    <w:rsid w:val="00F40F0C"/>
    <w:rsid w:val="00F41AAD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110"/>
    <w:rsid w:val="00F804BE"/>
    <w:rsid w:val="00F817CE"/>
    <w:rsid w:val="00F8456C"/>
    <w:rsid w:val="00F859D8"/>
    <w:rsid w:val="00F868F5"/>
    <w:rsid w:val="00F9056A"/>
    <w:rsid w:val="00F9083E"/>
    <w:rsid w:val="00F90F8D"/>
    <w:rsid w:val="00F92782"/>
    <w:rsid w:val="00F93AA9"/>
    <w:rsid w:val="00F96985"/>
    <w:rsid w:val="00F97838"/>
    <w:rsid w:val="00FA2BB3"/>
    <w:rsid w:val="00FA2F06"/>
    <w:rsid w:val="00FA3D4F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2A18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A446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EA44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A44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44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44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446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46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46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446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44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EA44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44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A44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446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A4460"/>
    <w:pPr>
      <w:ind w:left="1701" w:hanging="1701"/>
    </w:pPr>
  </w:style>
  <w:style w:type="paragraph" w:styleId="TOC4">
    <w:name w:val="toc 4"/>
    <w:basedOn w:val="TOC3"/>
    <w:uiPriority w:val="39"/>
    <w:rsid w:val="00EA4460"/>
    <w:pPr>
      <w:ind w:left="1418" w:hanging="1418"/>
    </w:pPr>
  </w:style>
  <w:style w:type="paragraph" w:styleId="TOC3">
    <w:name w:val="toc 3"/>
    <w:basedOn w:val="TOC2"/>
    <w:uiPriority w:val="39"/>
    <w:rsid w:val="00EA4460"/>
    <w:pPr>
      <w:ind w:left="1134" w:hanging="1134"/>
    </w:pPr>
  </w:style>
  <w:style w:type="paragraph" w:styleId="TOC2">
    <w:name w:val="toc 2"/>
    <w:basedOn w:val="TOC1"/>
    <w:uiPriority w:val="39"/>
    <w:rsid w:val="00EA44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4460"/>
    <w:pPr>
      <w:ind w:left="284"/>
    </w:pPr>
  </w:style>
  <w:style w:type="paragraph" w:styleId="Index1">
    <w:name w:val="index 1"/>
    <w:basedOn w:val="Normal"/>
    <w:rsid w:val="00EA4460"/>
    <w:pPr>
      <w:keepLines/>
      <w:spacing w:after="0"/>
    </w:pPr>
  </w:style>
  <w:style w:type="paragraph" w:styleId="DocumentMap">
    <w:name w:val="Document Map"/>
    <w:basedOn w:val="Normal"/>
    <w:link w:val="DocumentMapChar"/>
    <w:rsid w:val="00EA44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4460"/>
    <w:pPr>
      <w:numPr>
        <w:numId w:val="22"/>
      </w:numPr>
    </w:pPr>
  </w:style>
  <w:style w:type="paragraph" w:styleId="ListNumber">
    <w:name w:val="List Number"/>
    <w:basedOn w:val="List"/>
    <w:rsid w:val="00EA446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A4460"/>
    <w:pPr>
      <w:ind w:left="568" w:hanging="284"/>
    </w:pPr>
  </w:style>
  <w:style w:type="paragraph" w:styleId="Header">
    <w:name w:val="header"/>
    <w:link w:val="HeaderChar"/>
    <w:rsid w:val="00EA44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A44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446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A44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A4460"/>
    <w:pPr>
      <w:ind w:left="1418" w:hanging="1418"/>
    </w:pPr>
  </w:style>
  <w:style w:type="paragraph" w:styleId="TOC6">
    <w:name w:val="toc 6"/>
    <w:basedOn w:val="TOC5"/>
    <w:next w:val="Normal"/>
    <w:uiPriority w:val="39"/>
    <w:rsid w:val="00EA4460"/>
    <w:pPr>
      <w:ind w:left="1985" w:hanging="1985"/>
    </w:pPr>
  </w:style>
  <w:style w:type="paragraph" w:styleId="TOC7">
    <w:name w:val="toc 7"/>
    <w:basedOn w:val="TOC6"/>
    <w:next w:val="Normal"/>
    <w:uiPriority w:val="39"/>
    <w:rsid w:val="00EA4460"/>
    <w:pPr>
      <w:ind w:left="2268" w:hanging="2268"/>
    </w:pPr>
  </w:style>
  <w:style w:type="paragraph" w:styleId="ListBullet2">
    <w:name w:val="List Bullet 2"/>
    <w:basedOn w:val="ListBullet"/>
    <w:rsid w:val="00EA4460"/>
    <w:pPr>
      <w:numPr>
        <w:numId w:val="17"/>
      </w:numPr>
    </w:pPr>
  </w:style>
  <w:style w:type="paragraph" w:styleId="ListBullet">
    <w:name w:val="List Bullet"/>
    <w:basedOn w:val="List"/>
    <w:rsid w:val="00EA446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A4460"/>
    <w:pPr>
      <w:numPr>
        <w:numId w:val="18"/>
      </w:numPr>
    </w:pPr>
  </w:style>
  <w:style w:type="paragraph" w:customStyle="1" w:styleId="EQ">
    <w:name w:val="EQ"/>
    <w:basedOn w:val="Normal"/>
    <w:next w:val="Normal"/>
    <w:rsid w:val="00EA446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A4460"/>
    <w:pPr>
      <w:ind w:left="851"/>
    </w:pPr>
    <w:rPr>
      <w:lang w:eastAsia="ja-JP"/>
    </w:rPr>
  </w:style>
  <w:style w:type="paragraph" w:styleId="List3">
    <w:name w:val="List 3"/>
    <w:basedOn w:val="List2"/>
    <w:rsid w:val="00EA4460"/>
    <w:pPr>
      <w:ind w:left="1135"/>
    </w:pPr>
  </w:style>
  <w:style w:type="paragraph" w:styleId="List4">
    <w:name w:val="List 4"/>
    <w:basedOn w:val="List3"/>
    <w:rsid w:val="00EA4460"/>
    <w:pPr>
      <w:ind w:left="1418"/>
    </w:pPr>
  </w:style>
  <w:style w:type="paragraph" w:styleId="List5">
    <w:name w:val="List 5"/>
    <w:basedOn w:val="List4"/>
    <w:rsid w:val="00EA4460"/>
    <w:pPr>
      <w:ind w:left="1702"/>
    </w:pPr>
  </w:style>
  <w:style w:type="paragraph" w:customStyle="1" w:styleId="EditorsNote">
    <w:name w:val="Editor's Note"/>
    <w:basedOn w:val="NO"/>
    <w:link w:val="EditorsNoteChar"/>
    <w:rsid w:val="00EA4460"/>
    <w:rPr>
      <w:color w:val="FF0000"/>
      <w:lang w:val="x-none" w:eastAsia="x-none"/>
    </w:rPr>
  </w:style>
  <w:style w:type="paragraph" w:styleId="ListBullet4">
    <w:name w:val="List Bullet 4"/>
    <w:basedOn w:val="ListBullet3"/>
    <w:rsid w:val="00EA4460"/>
    <w:pPr>
      <w:numPr>
        <w:numId w:val="19"/>
      </w:numPr>
    </w:pPr>
  </w:style>
  <w:style w:type="paragraph" w:styleId="ListBullet5">
    <w:name w:val="List Bullet 5"/>
    <w:basedOn w:val="ListBullet4"/>
    <w:rsid w:val="00EA4460"/>
    <w:pPr>
      <w:numPr>
        <w:numId w:val="20"/>
      </w:numPr>
    </w:pPr>
  </w:style>
  <w:style w:type="paragraph" w:styleId="Footer">
    <w:name w:val="footer"/>
    <w:basedOn w:val="Header"/>
    <w:link w:val="FooterChar"/>
    <w:rsid w:val="00EA4460"/>
    <w:pPr>
      <w:jc w:val="center"/>
    </w:pPr>
    <w:rPr>
      <w:i/>
    </w:rPr>
  </w:style>
  <w:style w:type="paragraph" w:customStyle="1" w:styleId="Reference">
    <w:name w:val="Reference"/>
    <w:basedOn w:val="BodyText"/>
    <w:rsid w:val="00EA446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A446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A4460"/>
  </w:style>
  <w:style w:type="paragraph" w:styleId="BodyText">
    <w:name w:val="Body Text"/>
    <w:basedOn w:val="Normal"/>
    <w:link w:val="BodyTextChar"/>
    <w:rsid w:val="00EA446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A4460"/>
    <w:rPr>
      <w:color w:val="0000FF"/>
      <w:u w:val="single"/>
    </w:rPr>
  </w:style>
  <w:style w:type="character" w:styleId="FollowedHyperlink">
    <w:name w:val="FollowedHyperlink"/>
    <w:unhideWhenUsed/>
    <w:rsid w:val="00EA4460"/>
    <w:rPr>
      <w:color w:val="800080"/>
      <w:u w:val="single"/>
    </w:rPr>
  </w:style>
  <w:style w:type="character" w:styleId="CommentReference">
    <w:name w:val="annotation reference"/>
    <w:uiPriority w:val="99"/>
    <w:qFormat/>
    <w:rsid w:val="00EA4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A4460"/>
  </w:style>
  <w:style w:type="paragraph" w:styleId="CommentSubject">
    <w:name w:val="annotation subject"/>
    <w:basedOn w:val="CommentText"/>
    <w:next w:val="CommentText"/>
    <w:link w:val="CommentSubjectChar"/>
    <w:rsid w:val="00EA4460"/>
    <w:rPr>
      <w:b/>
      <w:bCs/>
    </w:rPr>
  </w:style>
  <w:style w:type="character" w:customStyle="1" w:styleId="Heading1Char">
    <w:name w:val="Heading 1 Char"/>
    <w:link w:val="Heading1"/>
    <w:rsid w:val="00EA446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EA446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A446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A446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A4460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A446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446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A4460"/>
    <w:rPr>
      <w:rFonts w:ascii="Times New Roman" w:hAnsi="Times New Roman"/>
    </w:rPr>
  </w:style>
  <w:style w:type="paragraph" w:customStyle="1" w:styleId="EX">
    <w:name w:val="EX"/>
    <w:basedOn w:val="Normal"/>
    <w:rsid w:val="00EA4460"/>
    <w:pPr>
      <w:keepLines/>
      <w:ind w:left="1702" w:hanging="1418"/>
    </w:pPr>
  </w:style>
  <w:style w:type="paragraph" w:customStyle="1" w:styleId="EW">
    <w:name w:val="EW"/>
    <w:basedOn w:val="EX"/>
    <w:rsid w:val="00EA4460"/>
    <w:pPr>
      <w:spacing w:after="0"/>
    </w:pPr>
  </w:style>
  <w:style w:type="paragraph" w:customStyle="1" w:styleId="TAL">
    <w:name w:val="TAL"/>
    <w:basedOn w:val="Normal"/>
    <w:link w:val="TALCar"/>
    <w:rsid w:val="00EA446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A4460"/>
    <w:pPr>
      <w:jc w:val="center"/>
    </w:pPr>
  </w:style>
  <w:style w:type="paragraph" w:customStyle="1" w:styleId="TAH">
    <w:name w:val="TAH"/>
    <w:basedOn w:val="TAC"/>
    <w:link w:val="TAHCar"/>
    <w:rsid w:val="00EA4460"/>
    <w:rPr>
      <w:b/>
    </w:rPr>
  </w:style>
  <w:style w:type="paragraph" w:customStyle="1" w:styleId="TAN">
    <w:name w:val="TAN"/>
    <w:basedOn w:val="TAL"/>
    <w:rsid w:val="00EA4460"/>
    <w:pPr>
      <w:ind w:left="851" w:hanging="851"/>
    </w:pPr>
  </w:style>
  <w:style w:type="paragraph" w:customStyle="1" w:styleId="TAR">
    <w:name w:val="TAR"/>
    <w:basedOn w:val="TAL"/>
    <w:rsid w:val="00EA4460"/>
    <w:pPr>
      <w:jc w:val="right"/>
    </w:pPr>
  </w:style>
  <w:style w:type="paragraph" w:customStyle="1" w:styleId="TH">
    <w:name w:val="TH"/>
    <w:basedOn w:val="Normal"/>
    <w:link w:val="THChar"/>
    <w:rsid w:val="00EA446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A44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4460"/>
    <w:pPr>
      <w:outlineLvl w:val="9"/>
    </w:pPr>
  </w:style>
  <w:style w:type="paragraph" w:customStyle="1" w:styleId="ZA">
    <w:name w:val="ZA"/>
    <w:rsid w:val="00EA44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44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44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A44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A4460"/>
  </w:style>
  <w:style w:type="paragraph" w:customStyle="1" w:styleId="ZH">
    <w:name w:val="ZH"/>
    <w:rsid w:val="00EA44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A44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A44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44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4460"/>
    <w:pPr>
      <w:framePr w:wrap="notBeside" w:y="16161"/>
    </w:pPr>
  </w:style>
  <w:style w:type="paragraph" w:customStyle="1" w:styleId="FP">
    <w:name w:val="FP"/>
    <w:basedOn w:val="Normal"/>
    <w:rsid w:val="00EA4460"/>
    <w:pPr>
      <w:spacing w:after="0"/>
    </w:pPr>
  </w:style>
  <w:style w:type="paragraph" w:customStyle="1" w:styleId="Observation">
    <w:name w:val="Observation"/>
    <w:basedOn w:val="Proposal"/>
    <w:qFormat/>
    <w:rsid w:val="00EA446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A446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A446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A446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A446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A446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A446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A4460"/>
    <w:pPr>
      <w:ind w:left="1985"/>
    </w:pPr>
  </w:style>
  <w:style w:type="character" w:customStyle="1" w:styleId="B6Char">
    <w:name w:val="B6 Char"/>
    <w:link w:val="B6"/>
    <w:rsid w:val="00EA446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A4460"/>
    <w:pPr>
      <w:ind w:left="2269"/>
    </w:pPr>
  </w:style>
  <w:style w:type="character" w:customStyle="1" w:styleId="B7Char">
    <w:name w:val="B7 Char"/>
    <w:basedOn w:val="B6Char"/>
    <w:link w:val="B7"/>
    <w:rsid w:val="00EA446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A4460"/>
    <w:pPr>
      <w:ind w:left="2552"/>
    </w:pPr>
  </w:style>
  <w:style w:type="character" w:customStyle="1" w:styleId="BalloonTextChar">
    <w:name w:val="Balloon Text Char"/>
    <w:link w:val="BalloonText"/>
    <w:rsid w:val="00EA446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A446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A446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A446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A446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A446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A446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A446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A4460"/>
    <w:pPr>
      <w:keepLines/>
      <w:ind w:left="1135" w:hanging="851"/>
    </w:pPr>
  </w:style>
  <w:style w:type="character" w:customStyle="1" w:styleId="NOChar">
    <w:name w:val="NO Char"/>
    <w:link w:val="NO"/>
    <w:qFormat/>
    <w:rsid w:val="00EA446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A446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A4460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A4460"/>
    <w:rPr>
      <w:i/>
      <w:iCs/>
    </w:rPr>
  </w:style>
  <w:style w:type="paragraph" w:customStyle="1" w:styleId="FigureTitle">
    <w:name w:val="Figure_Title"/>
    <w:basedOn w:val="Normal"/>
    <w:next w:val="Normal"/>
    <w:rsid w:val="00EA44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A446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A446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A446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A4460"/>
    <w:rPr>
      <w:i/>
      <w:color w:val="0000FF"/>
    </w:rPr>
  </w:style>
  <w:style w:type="character" w:customStyle="1" w:styleId="Heading2Char">
    <w:name w:val="Heading 2 Char"/>
    <w:link w:val="Heading2"/>
    <w:rsid w:val="00EA446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A446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A446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A446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A44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446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A446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A446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A446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A446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A446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A44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A4460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EA446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A44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A4460"/>
    <w:pPr>
      <w:spacing w:after="0"/>
    </w:pPr>
  </w:style>
  <w:style w:type="paragraph" w:customStyle="1" w:styleId="PL">
    <w:name w:val="PL"/>
    <w:link w:val="PLChar"/>
    <w:qFormat/>
    <w:rsid w:val="00EA446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A446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A446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A446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A4460"/>
    <w:rPr>
      <w:b/>
      <w:bCs/>
    </w:rPr>
  </w:style>
  <w:style w:type="table" w:styleId="TableGrid">
    <w:name w:val="Table Grid"/>
    <w:basedOn w:val="TableNormal"/>
    <w:uiPriority w:val="39"/>
    <w:rsid w:val="00EA446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446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A446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A446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A4460"/>
  </w:style>
  <w:style w:type="paragraph" w:customStyle="1" w:styleId="TALCharChar">
    <w:name w:val="TAL Char Char"/>
    <w:basedOn w:val="Normal"/>
    <w:link w:val="TALCharCharChar"/>
    <w:rsid w:val="00EA446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A446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A446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A446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A446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A4460"/>
    <w:pPr>
      <w:numPr>
        <w:numId w:val="10"/>
      </w:numPr>
      <w:contextualSpacing/>
    </w:pPr>
  </w:style>
  <w:style w:type="paragraph" w:customStyle="1" w:styleId="LGTdoc">
    <w:name w:val="LGTdoc_본문"/>
    <w:basedOn w:val="Normal"/>
    <w:link w:val="LGTdocChar"/>
    <w:qFormat/>
    <w:rsid w:val="00077322"/>
    <w:pPr>
      <w:widowControl w:val="0"/>
      <w:overflowPunct/>
      <w:autoSpaceDE/>
      <w:autoSpaceDN/>
      <w:adjustRightInd/>
      <w:snapToGrid w:val="0"/>
      <w:spacing w:afterLines="50" w:after="0" w:line="264" w:lineRule="auto"/>
      <w:jc w:val="both"/>
      <w:textAlignment w:val="auto"/>
    </w:pPr>
    <w:rPr>
      <w:rFonts w:asciiTheme="minorHAnsi" w:eastAsia="Batang" w:hAnsiTheme="minorHAnsi" w:cstheme="minorBidi"/>
      <w:kern w:val="2"/>
      <w:sz w:val="22"/>
      <w:szCs w:val="24"/>
      <w:lang w:val="sv-SE" w:eastAsia="ko-KR"/>
    </w:rPr>
  </w:style>
  <w:style w:type="character" w:customStyle="1" w:styleId="LGTdocChar">
    <w:name w:val="LGTdoc_본문 Char"/>
    <w:link w:val="LGTdoc"/>
    <w:qFormat/>
    <w:rsid w:val="00077322"/>
    <w:rPr>
      <w:rFonts w:asciiTheme="minorHAnsi" w:eastAsia="Batang" w:hAnsiTheme="minorHAnsi" w:cstheme="minorBidi"/>
      <w:kern w:val="2"/>
      <w:sz w:val="22"/>
      <w:szCs w:val="24"/>
      <w:lang w:val="sv-SE" w:eastAsia="ko-KR"/>
    </w:rPr>
  </w:style>
  <w:style w:type="paragraph" w:customStyle="1" w:styleId="Style1">
    <w:name w:val="Style1"/>
    <w:basedOn w:val="Normal"/>
    <w:link w:val="Style1Char"/>
    <w:qFormat/>
    <w:rsid w:val="00925F6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rFonts w:eastAsia="SimSun" w:cstheme="minorBidi"/>
      <w:sz w:val="22"/>
      <w:szCs w:val="22"/>
      <w:lang w:val="sv-SE" w:eastAsia="zh-CN"/>
    </w:rPr>
  </w:style>
  <w:style w:type="character" w:customStyle="1" w:styleId="Style1Char">
    <w:name w:val="Style1 Char"/>
    <w:link w:val="Style1"/>
    <w:qFormat/>
    <w:rsid w:val="00925F6B"/>
    <w:rPr>
      <w:rFonts w:ascii="Times New Roman" w:eastAsia="SimSun" w:hAnsi="Times New Roman" w:cstheme="minorBidi"/>
      <w:sz w:val="22"/>
      <w:szCs w:val="22"/>
      <w:lang w:val="sv-SE" w:eastAsia="zh-CN"/>
    </w:rPr>
  </w:style>
  <w:style w:type="paragraph" w:styleId="NormalWeb">
    <w:name w:val="Normal (Web)"/>
    <w:basedOn w:val="Normal"/>
    <w:uiPriority w:val="99"/>
    <w:unhideWhenUsed/>
    <w:rsid w:val="00246C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0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307C7-964F-4823-A9F2-E5B6344BB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435</Words>
  <Characters>3527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Links>
    <vt:vector size="24" baseType="variant">
      <vt:variant>
        <vt:i4>1114160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_Toc37319595</vt:lpwstr>
      </vt:variant>
      <vt:variant>
        <vt:i4>1048624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_Toc37319594</vt:lpwstr>
      </vt:variant>
      <vt:variant>
        <vt:i4>1507376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_Toc37319593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_Toc37319592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2020-04-10T17:26:00Z</dcterms:created>
  <dcterms:modified xsi:type="dcterms:W3CDTF">2020-04-10T17:26:00Z</dcterms:modified>
  <cp:category/>
</cp:coreProperties>
</file>